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napToGrid/>
        <w:spacing w:line="560" w:lineRule="exact"/>
        <w:jc w:val="center"/>
        <w:textAlignment w:val="auto"/>
        <w:outlineLvl w:val="9"/>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lang w:eastAsia="zh-CN"/>
        </w:rPr>
        <w:t>城镇污水排入排水管网许可</w:t>
      </w:r>
      <w:r>
        <w:rPr>
          <w:rFonts w:hint="eastAsia" w:ascii="方正小标宋简体" w:hAnsi="方正小标宋简体" w:eastAsia="方正小标宋简体" w:cs="方正小标宋简体"/>
          <w:sz w:val="44"/>
          <w:szCs w:val="44"/>
        </w:rPr>
        <w:t>事中事后</w:t>
      </w:r>
    </w:p>
    <w:p>
      <w:pPr>
        <w:keepNext w:val="0"/>
        <w:keepLines w:val="0"/>
        <w:pageBreakBefore w:val="0"/>
        <w:kinsoku/>
        <w:wordWrap/>
        <w:overflowPunct/>
        <w:topLinePunct w:val="0"/>
        <w:bidi w:val="0"/>
        <w:snapToGrid/>
        <w:spacing w:line="560" w:lineRule="exact"/>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监管细则</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为深入推进简政放权、放管结合、优化服务，加强</w:t>
      </w:r>
      <w:r>
        <w:rPr>
          <w:rFonts w:hint="eastAsia" w:ascii="仿宋" w:hAnsi="仿宋" w:eastAsia="仿宋" w:cs="仿宋"/>
          <w:kern w:val="0"/>
          <w:sz w:val="32"/>
          <w:szCs w:val="32"/>
          <w:lang w:val="zh-CN" w:eastAsia="zh-CN"/>
        </w:rPr>
        <w:t>城镇污水排入排水管网许可</w:t>
      </w:r>
      <w:r>
        <w:rPr>
          <w:rFonts w:hint="eastAsia" w:ascii="仿宋" w:hAnsi="仿宋" w:eastAsia="仿宋" w:cs="仿宋"/>
          <w:kern w:val="0"/>
          <w:sz w:val="32"/>
          <w:szCs w:val="32"/>
          <w:lang w:val="zh-CN"/>
        </w:rPr>
        <w:t>事中事后监管工作，规范行政行为，根据相关法律法规和《安徽省住房和城乡建设厅行</w:t>
      </w:r>
      <w:r>
        <w:rPr>
          <w:rFonts w:hint="eastAsia" w:ascii="仿宋" w:hAnsi="仿宋" w:eastAsia="仿宋" w:cs="仿宋"/>
          <w:sz w:val="32"/>
          <w:szCs w:val="32"/>
          <w:lang w:val="zh-CN"/>
        </w:rPr>
        <w:t>政权力运行监管细则》</w:t>
      </w:r>
      <w:r>
        <w:rPr>
          <w:rFonts w:hint="eastAsia" w:ascii="仿宋" w:hAnsi="仿宋" w:eastAsia="仿宋" w:cs="仿宋"/>
          <w:kern w:val="0"/>
          <w:sz w:val="32"/>
          <w:szCs w:val="32"/>
          <w:lang w:val="zh-CN"/>
        </w:rPr>
        <w:t>，制定本监管细则。</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eastAsia="zh-CN"/>
        </w:rPr>
      </w:pPr>
      <w:r>
        <w:rPr>
          <w:rFonts w:hint="eastAsia" w:ascii="仿宋" w:hAnsi="仿宋" w:eastAsia="仿宋" w:cs="仿宋"/>
          <w:kern w:val="0"/>
          <w:sz w:val="32"/>
          <w:szCs w:val="32"/>
          <w:lang w:val="zh-CN"/>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
          <w:sz w:val="32"/>
          <w:szCs w:val="32"/>
          <w:lang w:val="zh-CN"/>
        </w:rPr>
        <w:t>第</w:t>
      </w:r>
      <w:r>
        <w:rPr>
          <w:rFonts w:hint="eastAsia" w:ascii="仿宋" w:hAnsi="仿宋" w:eastAsia="仿宋" w:cs="仿宋"/>
          <w:sz w:val="32"/>
          <w:szCs w:val="32"/>
          <w:lang w:val="en-US" w:eastAsia="zh-CN"/>
        </w:rPr>
        <w:t>6</w:t>
      </w:r>
      <w:r>
        <w:rPr>
          <w:rFonts w:hint="eastAsia" w:ascii="仿宋" w:hAnsi="仿宋" w:eastAsia="仿宋" w:cs="仿宋"/>
          <w:sz w:val="32"/>
          <w:szCs w:val="32"/>
          <w:lang w:val="zh-CN"/>
        </w:rPr>
        <w:t>项</w:t>
      </w:r>
      <w:r>
        <w:rPr>
          <w:rFonts w:hint="eastAsia" w:ascii="仿宋" w:hAnsi="仿宋" w:eastAsia="仿宋" w:cs="仿宋"/>
          <w:kern w:val="0"/>
          <w:sz w:val="32"/>
          <w:szCs w:val="32"/>
          <w:lang w:val="zh-CN"/>
        </w:rPr>
        <w:t>，权力类型：行政许可，项目名称：</w:t>
      </w:r>
      <w:r>
        <w:rPr>
          <w:rFonts w:hint="eastAsia" w:ascii="仿宋" w:hAnsi="仿宋" w:eastAsia="仿宋" w:cs="仿宋"/>
          <w:kern w:val="0"/>
          <w:sz w:val="32"/>
          <w:szCs w:val="32"/>
          <w:lang w:val="zh-CN" w:eastAsia="zh-CN"/>
        </w:rPr>
        <w:t>城镇污水排入排水管网许可。</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黑体" w:hAnsi="黑体" w:eastAsia="黑体" w:cs="黑体"/>
          <w:kern w:val="0"/>
          <w:sz w:val="32"/>
          <w:szCs w:val="32"/>
          <w:lang w:val="zh-CN"/>
        </w:rPr>
      </w:pPr>
      <w:r>
        <w:rPr>
          <w:rFonts w:hint="eastAsia" w:ascii="黑体" w:hAnsi="黑体" w:eastAsia="黑体" w:cs="黑体"/>
          <w:kern w:val="0"/>
          <w:sz w:val="32"/>
          <w:szCs w:val="32"/>
          <w:lang w:val="zh-CN"/>
        </w:rPr>
        <w:t>一、基本原则</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一）坚持“法无授权不可为、法定职权必须为”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黑体" w:hAnsi="黑体" w:eastAsia="黑体" w:cs="黑体"/>
          <w:kern w:val="0"/>
          <w:sz w:val="32"/>
          <w:szCs w:val="32"/>
          <w:lang w:val="zh-CN"/>
        </w:rPr>
      </w:pPr>
      <w:r>
        <w:rPr>
          <w:rFonts w:hint="eastAsia" w:ascii="黑体" w:hAnsi="黑体" w:eastAsia="黑体" w:cs="黑体"/>
          <w:kern w:val="0"/>
          <w:sz w:val="32"/>
          <w:szCs w:val="32"/>
          <w:lang w:val="zh-CN"/>
        </w:rPr>
        <w:t>二、事中监管</w:t>
      </w:r>
    </w:p>
    <w:p>
      <w:pPr>
        <w:keepNext w:val="0"/>
        <w:keepLines w:val="0"/>
        <w:pageBreakBefore w:val="0"/>
        <w:kinsoku/>
        <w:wordWrap/>
        <w:overflowPunct/>
        <w:topLinePunct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（一）材料受理</w:t>
      </w:r>
    </w:p>
    <w:p>
      <w:pPr>
        <w:keepNext w:val="0"/>
        <w:keepLines w:val="0"/>
        <w:pageBreakBefore w:val="0"/>
        <w:kinsoku/>
        <w:wordWrap/>
        <w:overflowPunct/>
        <w:topLinePunct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sz w:val="32"/>
          <w:szCs w:val="32"/>
        </w:rPr>
        <w:t>申报</w:t>
      </w:r>
      <w:r>
        <w:rPr>
          <w:rFonts w:hint="eastAsia" w:ascii="仿宋" w:hAnsi="仿宋" w:eastAsia="仿宋" w:cs="仿宋"/>
          <w:sz w:val="32"/>
          <w:szCs w:val="32"/>
          <w:lang w:eastAsia="zh-CN"/>
        </w:rPr>
        <w:t>城镇污水排入排水管网许可</w:t>
      </w:r>
      <w:r>
        <w:rPr>
          <w:rFonts w:hint="eastAsia" w:ascii="仿宋" w:hAnsi="仿宋" w:eastAsia="仿宋" w:cs="仿宋"/>
          <w:sz w:val="32"/>
          <w:szCs w:val="32"/>
        </w:rPr>
        <w:t>需要提供材料包括:</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1.排水许可申请表；</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2.排水户内部排水管网、专用检测井、污水排放口位置和口径的图纸及说明等材料;</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3.按规定建设污水预处理设施的有关材料；</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4.排水隐蔽工程竣工报告;</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5.排水许可申请受理之日前一个月内由具有计量认证资质的水质检测机构出具的排水水质、水量检测报告；拟排放污水的排水户提交水质、水量预测报告;</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6.列入重点排污单位名录的排水户应当提供已安装的主要水污染物排放自动监测设备有关材料;</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7.法律、法规规定的其他材料。</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（二）审查监管</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县住建局窗口对申请材料不齐全或不符合法定形式的，不予受理次性告知补正材料;对申请材料齐全、符合法定形式,或者申请人按照要求提交全部补正申请材料的，予以受理。</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（三）现场勘查</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1.污水排放口的设置符合城镇排水与污水处理规划的要求;</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2.排放污水的水质符合国家或者地方的污水排入城镇下水道水质标准等有关标准；</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3.按照国家有关规定建设相应的预处理设施;</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4.按照国家有关规定在排放口设置便于采样和水量计量的专用检测井和计量设备；列入重点排污单位名录的排水户已安装主要水污染物排放自动监测设备;</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5.法律、法规规定的其他条件。</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黑体" w:hAnsi="黑体" w:eastAsia="黑体" w:cs="黑体"/>
          <w:kern w:val="0"/>
          <w:sz w:val="32"/>
          <w:szCs w:val="32"/>
          <w:lang w:val="zh-CN"/>
        </w:rPr>
      </w:pPr>
      <w:r>
        <w:rPr>
          <w:rFonts w:hint="eastAsia" w:ascii="黑体" w:hAnsi="黑体" w:eastAsia="黑体" w:cs="黑体"/>
          <w:kern w:val="0"/>
          <w:sz w:val="32"/>
          <w:szCs w:val="32"/>
          <w:lang w:val="zh-CN"/>
        </w:rPr>
        <w:t>三、事后监管</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1.建立监管台账档案</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县住建局将城镇污水排水许可初审材料进行整理归档，建立日常监管的动态化管理。</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2.监督检查</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县住建局加大对城镇污水排水的巡查力度，及时制止违规的行为，并将违法行为函告相关执法单位进行查处，限期整改。</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黑体" w:hAnsi="黑体" w:eastAsia="黑体" w:cs="黑体"/>
          <w:kern w:val="0"/>
          <w:sz w:val="32"/>
          <w:szCs w:val="32"/>
          <w:lang w:val="zh-CN"/>
        </w:rPr>
      </w:pPr>
      <w:r>
        <w:rPr>
          <w:rFonts w:hint="eastAsia" w:ascii="黑体" w:hAnsi="黑体" w:eastAsia="黑体" w:cs="黑体"/>
          <w:kern w:val="0"/>
          <w:sz w:val="32"/>
          <w:szCs w:val="32"/>
          <w:lang w:val="zh-CN"/>
        </w:rPr>
        <w:t> 四、责任追究</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在许可证核发工作中,有下列情形的,县住建局及相关工作人员应承担相应责任：</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lang w:val="zh-CN"/>
        </w:rPr>
        <w:t>对符合法定条件的申请不予受理、许可的；</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lang w:val="zh-CN"/>
        </w:rPr>
        <w:t>对不符合有关法律法规及相关文件要求的项目而予以核准的；</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lang w:val="zh-CN"/>
        </w:rPr>
        <w:t>擅自增设、变更审批程序或条件的；</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lang w:val="zh-CN"/>
        </w:rPr>
        <w:t>擅自变更、延续、撤销已审批项目的;</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lang w:val="zh-CN"/>
        </w:rPr>
        <w:t>对审批过程中滥用职权、玩忽职守,造成较大损失的;</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lang w:val="zh-CN"/>
        </w:rPr>
        <w:t>收受贿赂、获取其他利益，或者为他人谋取不正当利益提供方便的；</w:t>
      </w:r>
    </w:p>
    <w:p>
      <w:pPr>
        <w:keepNext w:val="0"/>
        <w:keepLines w:val="0"/>
        <w:pageBreakBefore w:val="0"/>
        <w:tabs>
          <w:tab w:val="left" w:pos="7455"/>
        </w:tabs>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7.其他违反法律法规政策规定的行为。</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黑体" w:hAnsi="黑体" w:eastAsia="黑体" w:cs="黑体"/>
          <w:kern w:val="0"/>
          <w:sz w:val="32"/>
          <w:szCs w:val="32"/>
          <w:lang w:val="zh-CN"/>
        </w:rPr>
      </w:pPr>
      <w:r>
        <w:rPr>
          <w:rFonts w:hint="eastAsia" w:ascii="黑体" w:hAnsi="黑体" w:eastAsia="黑体" w:cs="黑体"/>
          <w:kern w:val="0"/>
          <w:sz w:val="32"/>
          <w:szCs w:val="32"/>
          <w:lang w:val="zh-CN"/>
        </w:rPr>
        <w:t>五、保障措施</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（一）实施“审批查”改革。 县住建局要高度重视城城镇污水排入排水管网许可事中事后监管工作，按照“审、批、查”相互分离、相互衔接和简政放权、放管结合、转变职能的要求，强化组织领导，完善监管办法，落实保障措施，严肃查处问题，确保事中事后监管工作有序进行。</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（二）理清权责边界。针对权力交叉、监管空白等问题，科学划分管理区域及职能，明确权力范围和责任范围，建立上下联动监管机制。</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（三）加强人员培训。县住建局应当加强对市政执法人员法律、法规、标准和专业知识与执法能力培训，并适时组织考核。不具备相应知识和能力的，不得从事市政执法工作。</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（四）加强普法宣传。运用多种方式宣传市政管理的法律法规，提升管理相对人和公众的法律意识。</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黑体" w:hAnsi="黑体" w:eastAsia="黑体" w:cs="黑体"/>
          <w:kern w:val="0"/>
          <w:sz w:val="32"/>
          <w:szCs w:val="32"/>
          <w:lang w:val="zh-CN"/>
        </w:rPr>
      </w:pPr>
      <w:r>
        <w:rPr>
          <w:rFonts w:hint="eastAsia" w:ascii="黑体" w:hAnsi="黑体" w:eastAsia="黑体" w:cs="黑体"/>
          <w:kern w:val="0"/>
          <w:sz w:val="32"/>
          <w:szCs w:val="32"/>
          <w:lang w:val="zh-CN"/>
        </w:rPr>
        <w:t>六、主要依据</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（一）《中华人民共和国城填排水与污水处理条例》（国务院令第641号）第二十一条；</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（二）《城镇污水排入排水管网许可管理办法》（建设部令第21号）第十五条。</w:t>
      </w:r>
    </w:p>
    <w:p>
      <w:pPr>
        <w:keepNext w:val="0"/>
        <w:keepLines w:val="0"/>
        <w:pageBreakBefore w:val="0"/>
        <w:widowControl/>
        <w:kinsoku/>
        <w:wordWrap/>
        <w:overflowPunct/>
        <w:topLinePunct w:val="0"/>
        <w:bidi w:val="0"/>
        <w:snapToGrid/>
        <w:spacing w:line="560" w:lineRule="exact"/>
        <w:ind w:firstLine="600"/>
        <w:jc w:val="left"/>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3.《安徽省人民政府关于赋予乡镇街道部分县级审批执法权限的决定》（皖政〔2022〕112号）。</w:t>
      </w:r>
    </w:p>
    <w:p>
      <w:pPr>
        <w:keepNext w:val="0"/>
        <w:keepLines w:val="0"/>
        <w:pageBreakBefore w:val="0"/>
        <w:kinsoku/>
        <w:wordWrap/>
        <w:overflowPunct/>
        <w:topLinePunct w:val="0"/>
        <w:bidi w:val="0"/>
        <w:snapToGrid/>
        <w:spacing w:line="560" w:lineRule="exact"/>
        <w:ind w:firstLine="600" w:firstLineChars="200"/>
        <w:textAlignment w:val="auto"/>
        <w:outlineLvl w:val="9"/>
        <w:rPr>
          <w:rFonts w:ascii="仿宋_GB2312" w:hAnsi="仿宋_GB2312" w:eastAsia="仿宋_GB2312" w:cs="仿宋_GB2312"/>
          <w:sz w:val="30"/>
          <w:szCs w:val="30"/>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3965164B"/>
    <w:rsid w:val="0B160667"/>
    <w:rsid w:val="35127F5F"/>
    <w:rsid w:val="3965164B"/>
    <w:rsid w:val="50E26D9B"/>
    <w:rsid w:val="579B2D20"/>
    <w:rsid w:val="7D917C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2024-01-17T08:40:00Z</dcterms:created>
  <dc:creator>沉默的小布芬</dc:creator>
  <cp:lastModifiedBy>沉默的小布芬</cp:lastModifiedBy>
  <dcterms:modified xsi:type="dcterms:W3CDTF">2024-02-28T07:55:24Z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CB170BC35DCC4915852E8C3A3F919461_11</vt:lpwstr>
  </property>
</Properties>
</file>